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color w:val="000000"/>
          <w:sz w:val="36"/>
          <w:szCs w:val="36"/>
        </w:rPr>
      </w:pPr>
      <w:r>
        <w:rPr>
          <w:rFonts w:hint="eastAsia" w:ascii="华文中宋" w:hAnsi="华文中宋" w:eastAsia="华文中宋"/>
          <w:color w:val="000000"/>
          <w:sz w:val="36"/>
          <w:szCs w:val="36"/>
        </w:rPr>
        <w:t>融合报道、应用创新参评作品推荐表</w:t>
      </w:r>
      <w:bookmarkStart w:id="0" w:name="附件3"/>
      <w:bookmarkEnd w:id="0"/>
    </w:p>
    <w:p>
      <w:pPr>
        <w:spacing w:line="200" w:lineRule="exact"/>
        <w:jc w:val="center"/>
        <w:rPr>
          <w:rFonts w:ascii="华文中宋" w:hAnsi="华文中宋" w:eastAsia="华文中宋"/>
          <w:color w:val="000000"/>
          <w:sz w:val="36"/>
          <w:szCs w:val="36"/>
        </w:rPr>
      </w:pPr>
    </w:p>
    <w:tbl>
      <w:tblPr>
        <w:tblStyle w:val="3"/>
        <w:tblW w:w="10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3693"/>
        <w:gridCol w:w="1227"/>
        <w:gridCol w:w="3506"/>
      </w:tblGrid>
      <w:tr>
        <w:trPr>
          <w:cantSplit/>
          <w:trHeight w:val="1199" w:hRule="exact"/>
          <w:jc w:val="center"/>
        </w:trPr>
        <w:tc>
          <w:tcPr>
            <w:tcW w:w="1662" w:type="dxa"/>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8"/>
                <w:szCs w:val="28"/>
              </w:rPr>
            </w:pPr>
            <w:r>
              <w:rPr>
                <w:rFonts w:hint="eastAsia" w:ascii="华文中宋" w:hAnsi="华文中宋" w:eastAsia="华文中宋"/>
                <w:sz w:val="24"/>
              </w:rPr>
              <w:t>作品标题</w:t>
            </w:r>
          </w:p>
        </w:tc>
        <w:tc>
          <w:tcPr>
            <w:tcW w:w="369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1"/>
                <w:szCs w:val="21"/>
              </w:rPr>
            </w:pPr>
            <w:r>
              <w:rPr>
                <w:rFonts w:hint="eastAsia" w:ascii="仿宋" w:hAnsi="仿宋" w:eastAsia="仿宋" w:cs="仿宋"/>
                <w:color w:val="000000"/>
                <w:sz w:val="24"/>
                <w:szCs w:val="24"/>
              </w:rPr>
              <w:t>霍尔果斯口岸的国门卫士</w:t>
            </w:r>
          </w:p>
        </w:tc>
        <w:tc>
          <w:tcPr>
            <w:tcW w:w="1227"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eastAsia" w:ascii="仿宋_GB2312" w:hAnsi="华文仿宋" w:eastAsia="仿宋_GB2312"/>
              </w:rPr>
            </w:pPr>
            <w:r>
              <w:rPr>
                <w:rFonts w:hint="eastAsia" w:ascii="华文中宋" w:hAnsi="华文中宋" w:eastAsia="华文中宋" w:cs="华文中宋"/>
                <w:sz w:val="24"/>
              </w:rPr>
              <w:t>参评项目</w:t>
            </w:r>
          </w:p>
        </w:tc>
        <w:tc>
          <w:tcPr>
            <w:tcW w:w="350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1"/>
                <w:szCs w:val="21"/>
              </w:rPr>
            </w:pPr>
            <w:r>
              <w:rPr>
                <w:rFonts w:hint="eastAsia" w:ascii="仿宋" w:hAnsi="仿宋" w:eastAsia="仿宋" w:cs="仿宋"/>
                <w:color w:val="000000"/>
                <w:sz w:val="24"/>
                <w:szCs w:val="24"/>
              </w:rPr>
              <w:t>融合报道</w:t>
            </w:r>
          </w:p>
        </w:tc>
      </w:tr>
      <w:tr>
        <w:trPr>
          <w:cantSplit/>
          <w:trHeight w:val="1694" w:hRule="atLeast"/>
          <w:jc w:val="center"/>
        </w:trPr>
        <w:tc>
          <w:tcPr>
            <w:tcW w:w="1662" w:type="dxa"/>
            <w:vAlign w:val="center"/>
          </w:tcPr>
          <w:p>
            <w:pPr>
              <w:keepNext w:val="0"/>
              <w:keepLines w:val="0"/>
              <w:suppressLineNumbers w:val="0"/>
              <w:spacing w:before="0" w:beforeAutospacing="0" w:after="0" w:afterAutospacing="0" w:line="320" w:lineRule="exact"/>
              <w:ind w:left="0" w:right="0"/>
              <w:jc w:val="center"/>
              <w:rPr>
                <w:rFonts w:hint="eastAsia" w:ascii="华文中宋" w:hAnsi="华文中宋" w:eastAsia="华文中宋"/>
                <w:sz w:val="24"/>
              </w:rPr>
            </w:pPr>
            <w:r>
              <w:rPr>
                <w:rFonts w:hint="eastAsia" w:ascii="华文中宋" w:hAnsi="华文中宋" w:eastAsia="华文中宋"/>
                <w:sz w:val="24"/>
              </w:rPr>
              <w:t>主创人员</w:t>
            </w:r>
          </w:p>
        </w:tc>
        <w:tc>
          <w:tcPr>
            <w:tcW w:w="36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right="0"/>
              <w:jc w:val="both"/>
              <w:rPr>
                <w:rFonts w:hint="default" w:ascii="仿宋" w:hAnsi="仿宋" w:eastAsia="仿宋" w:cs="仿宋"/>
                <w:color w:val="000000"/>
                <w:sz w:val="21"/>
                <w:szCs w:val="21"/>
                <w:lang w:val="en-US" w:eastAsia="zh-CN"/>
              </w:rPr>
            </w:pPr>
            <w:r>
              <w:rPr>
                <w:rFonts w:hint="eastAsia" w:ascii="仿宋" w:hAnsi="仿宋" w:eastAsia="仿宋" w:cs="仿宋"/>
                <w:color w:val="000000"/>
                <w:sz w:val="24"/>
                <w:szCs w:val="24"/>
                <w:lang w:val="en-US" w:eastAsia="zh-CN"/>
              </w:rPr>
              <w:t>张博、牛娜、林晓楠</w:t>
            </w:r>
          </w:p>
        </w:tc>
        <w:tc>
          <w:tcPr>
            <w:tcW w:w="12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00" w:lineRule="exact"/>
              <w:ind w:left="0" w:right="0"/>
              <w:jc w:val="center"/>
              <w:rPr>
                <w:rFonts w:hint="eastAsia" w:ascii="仿宋_GB2312" w:hAnsi="华文仿宋" w:eastAsia="仿宋_GB2312"/>
              </w:rPr>
            </w:pPr>
            <w:r>
              <w:rPr>
                <w:rFonts w:hint="eastAsia" w:ascii="华文中宋" w:hAnsi="华文中宋" w:eastAsia="华文中宋" w:cs="华文中宋"/>
                <w:sz w:val="24"/>
              </w:rPr>
              <w:t>编辑</w:t>
            </w:r>
          </w:p>
        </w:tc>
        <w:tc>
          <w:tcPr>
            <w:tcW w:w="350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20" w:lineRule="exact"/>
              <w:ind w:left="0" w:right="0"/>
              <w:jc w:val="both"/>
              <w:rPr>
                <w:rFonts w:hint="default" w:ascii="仿宋" w:hAnsi="仿宋" w:eastAsia="仿宋" w:cs="仿宋"/>
                <w:color w:val="000000"/>
                <w:sz w:val="21"/>
                <w:szCs w:val="21"/>
                <w:lang w:val="en-US" w:eastAsia="zh-CN"/>
              </w:rPr>
            </w:pPr>
            <w:r>
              <w:rPr>
                <w:rFonts w:hint="eastAsia" w:ascii="仿宋" w:hAnsi="仿宋" w:eastAsia="仿宋" w:cs="仿宋"/>
                <w:color w:val="000000"/>
                <w:sz w:val="24"/>
                <w:szCs w:val="24"/>
                <w:lang w:val="en-US" w:eastAsia="zh-CN"/>
              </w:rPr>
              <w:t>林晓楠、牛娜</w:t>
            </w:r>
          </w:p>
        </w:tc>
      </w:tr>
      <w:tr>
        <w:trPr>
          <w:cantSplit/>
          <w:trHeight w:val="1572" w:hRule="exact"/>
          <w:jc w:val="center"/>
        </w:trPr>
        <w:tc>
          <w:tcPr>
            <w:tcW w:w="1662" w:type="dxa"/>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highlight w:val="yellow"/>
              </w:rPr>
            </w:pPr>
            <w:r>
              <w:rPr>
                <w:rFonts w:hint="eastAsia" w:ascii="华文中宋" w:hAnsi="华文中宋" w:eastAsia="华文中宋"/>
                <w:sz w:val="24"/>
              </w:rPr>
              <w:t>原创单位</w:t>
            </w:r>
          </w:p>
        </w:tc>
        <w:tc>
          <w:tcPr>
            <w:tcW w:w="36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1"/>
                <w:szCs w:val="21"/>
                <w:lang w:eastAsia="zh-CN"/>
              </w:rPr>
            </w:pP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lang w:val="en-US" w:eastAsia="zh-CN"/>
              </w:rPr>
              <w:t>时事报告》杂志社</w:t>
            </w:r>
          </w:p>
        </w:tc>
        <w:tc>
          <w:tcPr>
            <w:tcW w:w="12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8"/>
                <w:szCs w:val="28"/>
              </w:rPr>
            </w:pPr>
            <w:r>
              <w:rPr>
                <w:rFonts w:hint="eastAsia" w:ascii="华文中宋" w:hAnsi="华文中宋" w:eastAsia="华文中宋"/>
                <w:sz w:val="24"/>
              </w:rPr>
              <w:t>发布平台</w:t>
            </w:r>
          </w:p>
        </w:tc>
        <w:tc>
          <w:tcPr>
            <w:tcW w:w="350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1"/>
                <w:szCs w:val="21"/>
              </w:rPr>
            </w:pPr>
            <w:r>
              <w:rPr>
                <w:rFonts w:hint="eastAsia" w:ascii="仿宋" w:hAnsi="仿宋" w:eastAsia="仿宋" w:cs="仿宋"/>
                <w:color w:val="000000"/>
                <w:sz w:val="24"/>
                <w:szCs w:val="24"/>
                <w:lang w:val="en-US" w:eastAsia="zh-CN"/>
              </w:rPr>
              <w:t>时事报告微信公众号</w:t>
            </w:r>
          </w:p>
        </w:tc>
      </w:tr>
      <w:tr>
        <w:trPr>
          <w:cantSplit/>
          <w:trHeight w:val="824" w:hRule="atLeast"/>
          <w:jc w:val="center"/>
        </w:trPr>
        <w:tc>
          <w:tcPr>
            <w:tcW w:w="1662" w:type="dxa"/>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发布日期</w:t>
            </w:r>
          </w:p>
        </w:tc>
        <w:tc>
          <w:tcPr>
            <w:tcW w:w="8426" w:type="dxa"/>
            <w:gridSpan w:val="3"/>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2024</w:t>
            </w:r>
            <w:r>
              <w:rPr>
                <w:rFonts w:hint="eastAsia" w:ascii="仿宋" w:hAnsi="仿宋" w:eastAsia="仿宋" w:cs="仿宋"/>
                <w:color w:val="000000"/>
                <w:sz w:val="21"/>
                <w:szCs w:val="21"/>
              </w:rPr>
              <w:t>年</w:t>
            </w:r>
            <w:r>
              <w:rPr>
                <w:rFonts w:hint="eastAsia" w:ascii="仿宋" w:hAnsi="仿宋" w:eastAsia="仿宋" w:cs="仿宋"/>
                <w:color w:val="000000"/>
                <w:sz w:val="21"/>
                <w:szCs w:val="21"/>
                <w:lang w:val="en-US" w:eastAsia="zh-CN"/>
              </w:rPr>
              <w:t>12</w:t>
            </w:r>
            <w:r>
              <w:rPr>
                <w:rFonts w:hint="eastAsia" w:ascii="仿宋" w:hAnsi="仿宋" w:eastAsia="仿宋" w:cs="仿宋"/>
                <w:color w:val="000000"/>
                <w:sz w:val="21"/>
                <w:szCs w:val="21"/>
              </w:rPr>
              <w:t>月</w:t>
            </w:r>
            <w:r>
              <w:rPr>
                <w:rFonts w:hint="eastAsia" w:ascii="仿宋" w:hAnsi="仿宋" w:eastAsia="仿宋" w:cs="仿宋"/>
                <w:color w:val="000000"/>
                <w:sz w:val="21"/>
                <w:szCs w:val="21"/>
                <w:lang w:val="en-US" w:eastAsia="zh-CN"/>
              </w:rPr>
              <w:t>11</w:t>
            </w:r>
            <w:r>
              <w:rPr>
                <w:rFonts w:hint="eastAsia" w:ascii="仿宋" w:hAnsi="仿宋" w:eastAsia="仿宋" w:cs="仿宋"/>
                <w:color w:val="000000"/>
                <w:sz w:val="21"/>
                <w:szCs w:val="21"/>
              </w:rPr>
              <w:t>日</w:t>
            </w:r>
            <w:r>
              <w:rPr>
                <w:rFonts w:hint="eastAsia" w:ascii="仿宋" w:hAnsi="仿宋" w:eastAsia="仿宋" w:cs="仿宋"/>
                <w:color w:val="000000"/>
                <w:sz w:val="21"/>
                <w:szCs w:val="21"/>
                <w:lang w:val="en-US" w:eastAsia="zh-CN"/>
              </w:rPr>
              <w:t>15</w:t>
            </w:r>
            <w:r>
              <w:rPr>
                <w:rFonts w:hint="eastAsia" w:ascii="仿宋" w:hAnsi="仿宋" w:eastAsia="仿宋" w:cs="仿宋"/>
                <w:color w:val="000000"/>
                <w:sz w:val="21"/>
                <w:szCs w:val="21"/>
              </w:rPr>
              <w:t>时</w:t>
            </w:r>
            <w:r>
              <w:rPr>
                <w:rFonts w:hint="eastAsia" w:ascii="仿宋" w:hAnsi="仿宋" w:eastAsia="仿宋" w:cs="仿宋"/>
                <w:color w:val="000000"/>
                <w:sz w:val="21"/>
                <w:szCs w:val="21"/>
                <w:lang w:val="en-US" w:eastAsia="zh-CN"/>
              </w:rPr>
              <w:t>55</w:t>
            </w:r>
            <w:r>
              <w:rPr>
                <w:rFonts w:hint="eastAsia" w:ascii="仿宋" w:hAnsi="仿宋" w:eastAsia="仿宋" w:cs="仿宋"/>
                <w:color w:val="000000"/>
                <w:sz w:val="21"/>
                <w:szCs w:val="21"/>
              </w:rPr>
              <w:t>分</w:t>
            </w:r>
          </w:p>
        </w:tc>
      </w:tr>
      <w:tr>
        <w:trPr>
          <w:cantSplit/>
          <w:trHeight w:val="1248" w:hRule="exact"/>
          <w:jc w:val="center"/>
        </w:trPr>
        <w:tc>
          <w:tcPr>
            <w:tcW w:w="1662" w:type="dxa"/>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作品链接</w:t>
            </w:r>
          </w:p>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和二维码</w:t>
            </w:r>
          </w:p>
        </w:tc>
        <w:tc>
          <w:tcPr>
            <w:tcW w:w="842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auto"/>
                <w:sz w:val="21"/>
                <w:szCs w:val="21"/>
              </w:rPr>
            </w:pP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rPr>
              <w:instrText xml:space="preserve"> HYPERLINK "https://mp.weixin.qq.com/s/tRLCYuiAz0hCP42oKSLuyw" </w:instrText>
            </w:r>
            <w:r>
              <w:rPr>
                <w:rFonts w:hint="eastAsia" w:ascii="仿宋" w:hAnsi="仿宋" w:eastAsia="仿宋" w:cs="仿宋"/>
                <w:color w:val="auto"/>
                <w:sz w:val="21"/>
                <w:szCs w:val="21"/>
              </w:rPr>
              <w:fldChar w:fldCharType="separate"/>
            </w:r>
            <w:r>
              <w:rPr>
                <w:rStyle w:val="5"/>
                <w:rFonts w:hint="eastAsia" w:ascii="仿宋" w:hAnsi="仿宋" w:eastAsia="仿宋" w:cs="仿宋"/>
                <w:color w:val="auto"/>
                <w:sz w:val="21"/>
                <w:szCs w:val="21"/>
              </w:rPr>
              <w:t>https://mp.weixin.qq.com/s/tRLCYuiAz0hCP42oKSLuyw</w:t>
            </w:r>
            <w:r>
              <w:rPr>
                <w:rFonts w:hint="eastAsia" w:ascii="仿宋" w:hAnsi="仿宋" w:eastAsia="仿宋" w:cs="仿宋"/>
                <w:color w:val="auto"/>
                <w:sz w:val="21"/>
                <w:szCs w:val="21"/>
              </w:rPr>
              <w:fldChar w:fldCharType="end"/>
            </w:r>
          </w:p>
          <w:p>
            <w:pPr>
              <w:keepNext w:val="0"/>
              <w:keepLines w:val="0"/>
              <w:suppressLineNumbers w:val="0"/>
              <w:spacing w:before="0" w:beforeAutospacing="0" w:after="0" w:afterAutospacing="0"/>
              <w:ind w:left="0" w:right="0"/>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drawing>
                <wp:inline distT="0" distB="0" distL="114300" distR="114300">
                  <wp:extent cx="501015" cy="501015"/>
                  <wp:effectExtent l="0" t="0" r="6985" b="6985"/>
                  <wp:docPr id="1" name="图片 1"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二维码"/>
                          <pic:cNvPicPr>
                            <a:picLocks noChangeAspect="1"/>
                          </pic:cNvPicPr>
                        </pic:nvPicPr>
                        <pic:blipFill>
                          <a:blip r:embed="rId4"/>
                          <a:stretch>
                            <a:fillRect/>
                          </a:stretch>
                        </pic:blipFill>
                        <pic:spPr>
                          <a:xfrm>
                            <a:off x="0" y="0"/>
                            <a:ext cx="501015" cy="501015"/>
                          </a:xfrm>
                          <a:prstGeom prst="rect">
                            <a:avLst/>
                          </a:prstGeom>
                        </pic:spPr>
                      </pic:pic>
                    </a:graphicData>
                  </a:graphic>
                </wp:inline>
              </w:drawing>
            </w:r>
          </w:p>
        </w:tc>
      </w:tr>
      <w:tr>
        <w:trPr>
          <w:cantSplit/>
          <w:trHeight w:val="1407" w:hRule="exact"/>
          <w:jc w:val="center"/>
        </w:trPr>
        <w:tc>
          <w:tcPr>
            <w:tcW w:w="1662" w:type="dxa"/>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作品简介</w:t>
            </w:r>
          </w:p>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pacing w:val="-20"/>
                <w:sz w:val="24"/>
              </w:rPr>
            </w:pPr>
            <w:r>
              <w:rPr>
                <w:rFonts w:hint="eastAsia" w:ascii="华文中宋" w:hAnsi="华文中宋" w:eastAsia="华文中宋"/>
                <w:spacing w:val="-20"/>
                <w:sz w:val="24"/>
              </w:rPr>
              <w:t>（采编过程）</w:t>
            </w:r>
          </w:p>
        </w:tc>
        <w:tc>
          <w:tcPr>
            <w:tcW w:w="842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4"/>
                <w:szCs w:val="18"/>
              </w:rPr>
            </w:pPr>
            <w:r>
              <w:rPr>
                <w:rFonts w:hint="eastAsia" w:ascii="仿宋" w:hAnsi="仿宋" w:eastAsia="仿宋" w:cs="仿宋"/>
                <w:color w:val="000000"/>
                <w:sz w:val="21"/>
                <w:szCs w:val="21"/>
              </w:rPr>
              <w:t>党的二十大擘画了以中国式现代化推进中华民族伟大复兴的宏伟蓝图。为呈现各地推动中国式现代化发展的生动实践，《时事报告》杂志社联合霍尔果斯市委宣传部共同拍摄“霍尔果斯口岸的国门卫士”，讲述霍尔果斯口岸海关关员严守国门第一防线，展现霍尔果斯口岸区位优势、开放优势、政策优势的现代化边境城市的</w:t>
            </w:r>
            <w:bookmarkStart w:id="1" w:name="_GoBack"/>
            <w:bookmarkEnd w:id="1"/>
            <w:r>
              <w:rPr>
                <w:rFonts w:hint="eastAsia" w:ascii="仿宋" w:hAnsi="仿宋" w:eastAsia="仿宋" w:cs="仿宋"/>
                <w:color w:val="000000"/>
                <w:sz w:val="21"/>
                <w:szCs w:val="21"/>
              </w:rPr>
              <w:t>发展变迁。</w:t>
            </w:r>
          </w:p>
        </w:tc>
      </w:tr>
      <w:tr>
        <w:trPr>
          <w:cantSplit/>
          <w:trHeight w:val="1801" w:hRule="exact"/>
          <w:jc w:val="center"/>
        </w:trPr>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社会效果</w:t>
            </w:r>
          </w:p>
        </w:tc>
        <w:tc>
          <w:tcPr>
            <w:tcW w:w="842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仿宋" w:hAnsi="仿宋" w:eastAsia="仿宋" w:cs="仿宋"/>
                <w:color w:val="000000"/>
                <w:sz w:val="21"/>
                <w:szCs w:val="21"/>
              </w:rPr>
            </w:pPr>
            <w:r>
              <w:rPr>
                <w:rFonts w:hint="eastAsia" w:ascii="仿宋" w:hAnsi="仿宋" w:eastAsia="仿宋" w:cs="仿宋"/>
                <w:color w:val="000000"/>
                <w:sz w:val="21"/>
                <w:szCs w:val="21"/>
              </w:rPr>
              <w:t>本作品通过讲述霍尔果斯海关关员艾克热木·夏克尔的真实工作经历，生动展现了新时代国门卫士的使命担当和口岸发展的巨大变迁。</w:t>
            </w:r>
          </w:p>
          <w:p>
            <w:pPr>
              <w:keepNext w:val="0"/>
              <w:keepLines w:val="0"/>
              <w:suppressLineNumbers w:val="0"/>
              <w:spacing w:before="0" w:beforeAutospacing="0" w:after="0" w:afterAutospacing="0"/>
              <w:ind w:left="0" w:right="0"/>
              <w:rPr>
                <w:rFonts w:hint="eastAsia" w:ascii="仿宋" w:hAnsi="仿宋" w:eastAsia="仿宋" w:cs="仿宋"/>
                <w:color w:val="000000"/>
                <w:sz w:val="24"/>
                <w:szCs w:val="18"/>
              </w:rPr>
            </w:pPr>
            <w:r>
              <w:rPr>
                <w:rFonts w:hint="eastAsia" w:ascii="仿宋" w:hAnsi="仿宋" w:eastAsia="仿宋" w:cs="仿宋"/>
                <w:color w:val="000000"/>
                <w:sz w:val="21"/>
                <w:szCs w:val="21"/>
              </w:rPr>
              <w:t>作品发布后，</w:t>
            </w:r>
            <w:r>
              <w:rPr>
                <w:rFonts w:hint="eastAsia" w:ascii="仿宋" w:hAnsi="仿宋" w:eastAsia="仿宋" w:cs="仿宋"/>
                <w:color w:val="000000"/>
                <w:sz w:val="21"/>
                <w:szCs w:val="21"/>
                <w:lang w:val="en-US" w:eastAsia="zh-CN"/>
              </w:rPr>
              <w:t>在“学习强国”学习平台、人民号</w:t>
            </w:r>
            <w:r>
              <w:rPr>
                <w:rFonts w:hint="eastAsia" w:ascii="仿宋" w:hAnsi="仿宋" w:eastAsia="仿宋" w:cs="仿宋"/>
                <w:color w:val="000000"/>
                <w:sz w:val="21"/>
                <w:szCs w:val="21"/>
              </w:rPr>
              <w:t>转载，并在社交媒体引发广泛共鸣，网友纷纷留言致敬海关人的坚守。霍尔果斯口岸的贸易商、物流企业等受众反馈称，报道真实反映了通关便利化带来的积极变化，增强了市场信心。</w:t>
            </w:r>
          </w:p>
        </w:tc>
      </w:tr>
      <w:tr>
        <w:trPr>
          <w:cantSplit/>
          <w:trHeight w:val="3248" w:hRule="exact"/>
          <w:jc w:val="center"/>
        </w:trPr>
        <w:tc>
          <w:tcPr>
            <w:tcW w:w="1662" w:type="dxa"/>
            <w:vAlign w:val="center"/>
          </w:tcPr>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初评评语</w:t>
            </w:r>
          </w:p>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（推荐理由）</w:t>
            </w:r>
          </w:p>
          <w:p>
            <w:pPr>
              <w:keepNext w:val="0"/>
              <w:keepLines w:val="0"/>
              <w:suppressLineNumbers w:val="0"/>
              <w:spacing w:before="0" w:beforeAutospacing="0" w:after="0" w:afterAutospacing="0" w:line="380" w:lineRule="exact"/>
              <w:ind w:left="0" w:right="0"/>
              <w:rPr>
                <w:rFonts w:hint="eastAsia" w:ascii="华文中宋" w:hAnsi="华文中宋" w:eastAsia="华文中宋"/>
                <w:sz w:val="28"/>
                <w:szCs w:val="28"/>
              </w:rPr>
            </w:pPr>
          </w:p>
        </w:tc>
        <w:tc>
          <w:tcPr>
            <w:tcW w:w="8426"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80" w:lineRule="exact"/>
              <w:ind w:left="0" w:right="0"/>
              <w:rPr>
                <w:rFonts w:hint="eastAsia" w:ascii="华文中宋" w:hAnsi="华文中宋" w:eastAsia="华文中宋"/>
                <w:sz w:val="24"/>
              </w:rPr>
            </w:pPr>
            <w:r>
              <w:rPr>
                <w:rFonts w:hint="eastAsia" w:ascii="仿宋" w:hAnsi="仿宋" w:eastAsia="仿宋" w:cs="仿宋"/>
                <w:color w:val="000000"/>
                <w:sz w:val="21"/>
                <w:szCs w:val="21"/>
              </w:rPr>
              <w:t>本作品紧扣党的二十大</w:t>
            </w:r>
            <w:r>
              <w:rPr>
                <w:rFonts w:hint="eastAsia" w:ascii="仿宋" w:hAnsi="仿宋" w:eastAsia="仿宋" w:cs="仿宋"/>
                <w:color w:val="000000"/>
                <w:sz w:val="21"/>
                <w:szCs w:val="21"/>
                <w:lang w:val="en-US" w:eastAsia="zh-CN"/>
              </w:rPr>
              <w:t>精神</w:t>
            </w:r>
            <w:r>
              <w:rPr>
                <w:rFonts w:hint="eastAsia" w:ascii="仿宋" w:hAnsi="仿宋" w:eastAsia="仿宋" w:cs="仿宋"/>
                <w:color w:val="000000"/>
                <w:sz w:val="21"/>
                <w:szCs w:val="21"/>
              </w:rPr>
              <w:t>，以霍尔果斯海关关员艾克热木·夏克尔的真实工作为切入点，通过纪实影像、人物自述与数据可视化相结合的融合叙事方式，生动展现了新时代国门卫士的使命担当和口岸发展的巨大变迁，兼具政治高度与传播温度。作品以小见大，既呈现了海关严格执法、守护国门安全的细节，又折射出“一带一路”倡议下新疆口岸的开放活力，成为讲好中国式现代化故事的鲜活样本。</w:t>
            </w:r>
          </w:p>
          <w:p>
            <w:pPr>
              <w:keepNext w:val="0"/>
              <w:keepLines w:val="0"/>
              <w:suppressLineNumbers w:val="0"/>
              <w:spacing w:before="0" w:beforeAutospacing="0" w:after="0" w:afterAutospacing="0" w:line="380" w:lineRule="exact"/>
              <w:ind w:left="0" w:right="0"/>
              <w:jc w:val="center"/>
              <w:rPr>
                <w:rFonts w:hint="eastAsia" w:ascii="华文中宋" w:hAnsi="华文中宋" w:eastAsia="华文中宋"/>
                <w:sz w:val="24"/>
              </w:rPr>
            </w:pPr>
            <w:r>
              <w:rPr>
                <w:rFonts w:hint="eastAsia" w:ascii="华文中宋" w:hAnsi="华文中宋" w:eastAsia="华文中宋"/>
                <w:sz w:val="24"/>
              </w:rPr>
              <w:t xml:space="preserve">                                签名：</w:t>
            </w:r>
          </w:p>
          <w:p>
            <w:pPr>
              <w:keepNext w:val="0"/>
              <w:keepLines w:val="0"/>
              <w:suppressLineNumbers w:val="0"/>
              <w:spacing w:before="0" w:beforeAutospacing="0" w:after="0" w:afterAutospacing="0" w:line="380" w:lineRule="exact"/>
              <w:ind w:left="0" w:right="0"/>
              <w:jc w:val="center"/>
              <w:rPr>
                <w:rFonts w:hint="eastAsia" w:ascii="仿宋" w:hAnsi="仿宋" w:eastAsia="仿宋"/>
                <w:sz w:val="22"/>
                <w:szCs w:val="22"/>
              </w:rPr>
            </w:pPr>
            <w:r>
              <w:rPr>
                <w:rFonts w:hint="eastAsia" w:ascii="华文中宋" w:hAnsi="华文中宋" w:eastAsia="华文中宋"/>
                <w:sz w:val="24"/>
              </w:rPr>
              <w:t xml:space="preserve">                                                 </w:t>
            </w:r>
            <w:r>
              <w:rPr>
                <w:rFonts w:hint="eastAsia" w:ascii="仿宋" w:hAnsi="仿宋" w:eastAsia="仿宋"/>
                <w:sz w:val="22"/>
                <w:szCs w:val="22"/>
              </w:rPr>
              <w:t>（加盖单位公章）</w:t>
            </w:r>
          </w:p>
          <w:p>
            <w:pPr>
              <w:keepNext w:val="0"/>
              <w:keepLines w:val="0"/>
              <w:suppressLineNumbers w:val="0"/>
              <w:spacing w:before="0" w:beforeAutospacing="0" w:after="0" w:afterAutospacing="0" w:line="380" w:lineRule="exact"/>
              <w:ind w:left="0" w:right="0"/>
              <w:jc w:val="center"/>
              <w:rPr>
                <w:rFonts w:hint="eastAsia" w:ascii="仿宋_GB2312" w:eastAsia="仿宋_GB2312"/>
                <w:sz w:val="28"/>
              </w:rPr>
            </w:pPr>
            <w:r>
              <w:rPr>
                <w:rFonts w:hint="eastAsia" w:ascii="华文中宋" w:hAnsi="华文中宋" w:eastAsia="华文中宋"/>
                <w:sz w:val="24"/>
              </w:rPr>
              <w:t xml:space="preserve">                                                  202</w:t>
            </w:r>
            <w:r>
              <w:rPr>
                <w:rFonts w:hint="eastAsia" w:ascii="华文中宋" w:hAnsi="华文中宋" w:eastAsia="华文中宋"/>
                <w:sz w:val="24"/>
                <w:lang w:val="en-US" w:eastAsia="zh-CN"/>
              </w:rPr>
              <w:t>5</w:t>
            </w:r>
            <w:r>
              <w:rPr>
                <w:rFonts w:hint="eastAsia" w:ascii="华文中宋" w:hAnsi="华文中宋" w:eastAsia="华文中宋"/>
                <w:sz w:val="24"/>
              </w:rPr>
              <w:t>年  月  日</w:t>
            </w:r>
          </w:p>
        </w:tc>
      </w:tr>
    </w:tbl>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FZDaBiaoSong-B06">
    <w:panose1 w:val="02000000000000000000"/>
    <w:charset w:val="86"/>
    <w:family w:val="auto"/>
    <w:pitch w:val="default"/>
    <w:sig w:usb0="00000001" w:usb1="08000000" w:usb2="00000000" w:usb3="00000000" w:csb0="00040000" w:csb1="00000000"/>
  </w:font>
  <w:font w:name="方正大标宋_GBK">
    <w:panose1 w:val="02000000000000000000"/>
    <w:charset w:val="86"/>
    <w:family w:val="auto"/>
    <w:pitch w:val="default"/>
    <w:sig w:usb0="00000001" w:usb1="08000000" w:usb2="00000000" w:usb3="00000000" w:csb0="00040000" w:csb1="00000000"/>
  </w:font>
  <w:font w:name="STFangsong">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等线">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00000001" w:usb1="0800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4NzcwNDk1ODQ3Y2UzMzAzNzViOTcxYWZiNWRlMzQifQ=="/>
  </w:docVars>
  <w:rsids>
    <w:rsidRoot w:val="1ACE439C"/>
    <w:rsid w:val="138C2EED"/>
    <w:rsid w:val="1ACE439C"/>
    <w:rsid w:val="3F3E2B2F"/>
    <w:rsid w:val="4C7338C5"/>
    <w:rsid w:val="FD3DE5AC"/>
    <w:rsid w:val="FDE49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558</Words>
  <Characters>585</Characters>
  <Lines>0</Lines>
  <Paragraphs>0</Paragraphs>
  <TotalTime>62</TotalTime>
  <ScaleCrop>false</ScaleCrop>
  <LinksUpToDate>false</LinksUpToDate>
  <CharactersWithSpaces>720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2023-05-11T16:44:00Z</dcterms:created>
  <dc:creator>温庆瑰</dc:creator>
  <cp:lastModifiedBy>轩辕涵</cp:lastModifiedBy>
  <dcterms:modified xsi:type="dcterms:W3CDTF">2025-03-27T10:41:29Z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57D02B33E804527228B8E467FD485AE0_43</vt:lpwstr>
  </property>
  <property fmtid="{D5CDD505-2E9C-101B-9397-08002B2CF9AE}" pid="4" name="KSOTemplateDocerSaveRecord">
    <vt:lpwstr>eyJoZGlkIjoiNDk4NzcwNDk1ODQ3Y2UzMzAzNzViOTcxYWZiNWRlMzQiLCJ1c2VySWQiOiI5NDMzMjAwMzIifQ==</vt:lpwstr>
  </property>
</Properties>
</file>